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张文军</w:t>
      </w:r>
      <w:r>
        <w:rPr>
          <w:rFonts w:hint="eastAsia"/>
          <w:sz w:val="15"/>
          <w:szCs w:val="15"/>
          <w:highlight w:val="none"/>
        </w:rPr>
        <w:t>，</w:t>
      </w:r>
      <w:r>
        <w:rPr>
          <w:rFonts w:hint="eastAsia"/>
          <w:sz w:val="15"/>
          <w:szCs w:val="15"/>
          <w:highlight w:val="none"/>
          <w:lang w:val="en-US" w:eastAsia="zh-CN"/>
        </w:rPr>
        <w:t>132335197909300873</w:t>
      </w:r>
      <w:r>
        <w:rPr>
          <w:rFonts w:hint="eastAsia"/>
          <w:sz w:val="15"/>
          <w:szCs w:val="15"/>
        </w:rPr>
        <w:t xml:space="preserve">  </w:t>
      </w:r>
      <w:r>
        <w:rPr>
          <w:rFonts w:hint="eastAsia"/>
          <w:sz w:val="15"/>
          <w:szCs w:val="15"/>
          <w:lang w:val="en-US" w:eastAsia="zh-CN"/>
        </w:rPr>
        <w:t>冀A33673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