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秦英桃</w:t>
      </w:r>
      <w:r>
        <w:rPr>
          <w:rFonts w:hint="eastAsia"/>
          <w:sz w:val="15"/>
          <w:szCs w:val="15"/>
          <w:highlight w:val="none"/>
        </w:rPr>
        <w:t>，</w:t>
      </w:r>
      <w:r>
        <w:rPr>
          <w:rFonts w:hint="eastAsia"/>
          <w:sz w:val="15"/>
          <w:szCs w:val="15"/>
          <w:highlight w:val="none"/>
          <w:lang w:val="en-US" w:eastAsia="zh-CN"/>
        </w:rPr>
        <w:t>132335197909200864</w:t>
      </w:r>
      <w:r>
        <w:rPr>
          <w:rFonts w:hint="eastAsia"/>
          <w:sz w:val="15"/>
          <w:szCs w:val="15"/>
        </w:rPr>
        <w:t xml:space="preserve">  </w:t>
      </w:r>
      <w:r>
        <w:rPr>
          <w:rFonts w:hint="eastAsia"/>
          <w:sz w:val="15"/>
          <w:szCs w:val="15"/>
          <w:lang w:val="en-US" w:eastAsia="zh-CN"/>
        </w:rPr>
        <w:t>冀A32577D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