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赵丽彦</w:t>
      </w:r>
      <w:r>
        <w:rPr>
          <w:rFonts w:hint="eastAsia"/>
          <w:sz w:val="15"/>
          <w:szCs w:val="15"/>
          <w:highlight w:val="none"/>
        </w:rPr>
        <w:t>，</w:t>
      </w:r>
      <w:r>
        <w:rPr>
          <w:rFonts w:hint="eastAsia"/>
          <w:sz w:val="15"/>
          <w:szCs w:val="15"/>
          <w:highlight w:val="none"/>
          <w:lang w:val="en-US" w:eastAsia="zh-CN"/>
        </w:rPr>
        <w:t>132335197902100422</w:t>
      </w:r>
      <w:r>
        <w:rPr>
          <w:rFonts w:hint="eastAsia"/>
          <w:sz w:val="15"/>
          <w:szCs w:val="15"/>
        </w:rPr>
        <w:t xml:space="preserve">  </w:t>
      </w:r>
      <w:r>
        <w:rPr>
          <w:rFonts w:hint="eastAsia"/>
          <w:sz w:val="15"/>
          <w:szCs w:val="15"/>
          <w:lang w:val="en-US" w:eastAsia="zh-CN"/>
        </w:rPr>
        <w:t>沪A28280A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