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王玉龙</w:t>
      </w:r>
      <w:r>
        <w:rPr>
          <w:rFonts w:hint="eastAsia"/>
          <w:sz w:val="15"/>
          <w:szCs w:val="15"/>
          <w:highlight w:val="none"/>
        </w:rPr>
        <w:t>，</w:t>
      </w:r>
      <w:r>
        <w:rPr>
          <w:rFonts w:hint="eastAsia"/>
          <w:sz w:val="15"/>
          <w:szCs w:val="15"/>
          <w:highlight w:val="none"/>
          <w:lang w:val="en-US" w:eastAsia="zh-CN"/>
        </w:rPr>
        <w:t>132335197710281476</w:t>
      </w:r>
      <w:r>
        <w:rPr>
          <w:rFonts w:hint="eastAsia"/>
          <w:sz w:val="15"/>
          <w:szCs w:val="15"/>
        </w:rPr>
        <w:t xml:space="preserve">  </w:t>
      </w:r>
      <w:r>
        <w:rPr>
          <w:rFonts w:hint="eastAsia"/>
          <w:sz w:val="15"/>
          <w:szCs w:val="15"/>
          <w:lang w:val="en-US" w:eastAsia="zh-CN"/>
        </w:rPr>
        <w:t>冀A07167D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