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卢彦林</w:t>
      </w:r>
      <w:r>
        <w:rPr>
          <w:rFonts w:hint="eastAsia"/>
          <w:sz w:val="15"/>
          <w:szCs w:val="15"/>
          <w:highlight w:val="none"/>
        </w:rPr>
        <w:t>，</w:t>
      </w:r>
      <w:r>
        <w:rPr>
          <w:rFonts w:hint="eastAsia"/>
          <w:sz w:val="15"/>
          <w:szCs w:val="15"/>
          <w:highlight w:val="none"/>
          <w:lang w:val="en-US" w:eastAsia="zh-CN"/>
        </w:rPr>
        <w:t>13233519770714071X</w:t>
      </w:r>
      <w:r>
        <w:rPr>
          <w:rFonts w:hint="eastAsia"/>
          <w:sz w:val="15"/>
          <w:szCs w:val="15"/>
        </w:rPr>
        <w:t xml:space="preserve">  </w:t>
      </w:r>
      <w:r>
        <w:rPr>
          <w:rFonts w:hint="eastAsia"/>
          <w:sz w:val="15"/>
          <w:szCs w:val="15"/>
          <w:lang w:val="en-US" w:eastAsia="zh-CN"/>
        </w:rPr>
        <w:t>冀A099V1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