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谷军彦</w:t>
      </w:r>
      <w:r>
        <w:rPr>
          <w:rFonts w:hint="eastAsia"/>
          <w:sz w:val="15"/>
          <w:szCs w:val="15"/>
          <w:highlight w:val="none"/>
        </w:rPr>
        <w:t>，</w:t>
      </w:r>
      <w:r>
        <w:rPr>
          <w:rFonts w:hint="eastAsia"/>
          <w:sz w:val="15"/>
          <w:szCs w:val="15"/>
          <w:highlight w:val="none"/>
          <w:lang w:val="en-US" w:eastAsia="zh-CN"/>
        </w:rPr>
        <w:t>132335197703051613</w:t>
      </w:r>
      <w:r>
        <w:rPr>
          <w:rFonts w:hint="eastAsia"/>
          <w:sz w:val="15"/>
          <w:szCs w:val="15"/>
        </w:rPr>
        <w:t xml:space="preserve">  </w:t>
      </w:r>
      <w:r>
        <w:rPr>
          <w:rFonts w:hint="eastAsia"/>
          <w:sz w:val="15"/>
          <w:szCs w:val="15"/>
          <w:lang w:val="en-US" w:eastAsia="zh-CN"/>
        </w:rPr>
        <w:t>沪A78377D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