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高志龙</w:t>
      </w:r>
      <w:r>
        <w:rPr>
          <w:rFonts w:hint="eastAsia"/>
          <w:sz w:val="15"/>
          <w:szCs w:val="15"/>
          <w:highlight w:val="none"/>
        </w:rPr>
        <w:t>，</w:t>
      </w:r>
      <w:r>
        <w:rPr>
          <w:rFonts w:hint="eastAsia"/>
          <w:sz w:val="15"/>
          <w:szCs w:val="15"/>
          <w:highlight w:val="none"/>
          <w:lang w:val="en-US" w:eastAsia="zh-CN"/>
        </w:rPr>
        <w:t>132335197509191313</w:t>
      </w:r>
      <w:r>
        <w:rPr>
          <w:rFonts w:hint="eastAsia"/>
          <w:sz w:val="15"/>
          <w:szCs w:val="15"/>
        </w:rPr>
        <w:t xml:space="preserve">  </w:t>
      </w:r>
      <w:r>
        <w:rPr>
          <w:rFonts w:hint="eastAsia"/>
          <w:sz w:val="15"/>
          <w:szCs w:val="15"/>
          <w:lang w:val="en-US" w:eastAsia="zh-CN"/>
        </w:rPr>
        <w:t>冀A580SQ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