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王进朝</w:t>
      </w:r>
      <w:r>
        <w:rPr>
          <w:rFonts w:hint="eastAsia"/>
          <w:sz w:val="15"/>
          <w:szCs w:val="15"/>
          <w:highlight w:val="none"/>
        </w:rPr>
        <w:t>，</w:t>
      </w:r>
      <w:r>
        <w:rPr>
          <w:rFonts w:hint="eastAsia"/>
          <w:sz w:val="15"/>
          <w:szCs w:val="15"/>
          <w:highlight w:val="none"/>
          <w:lang w:val="en-US" w:eastAsia="zh-CN"/>
        </w:rPr>
        <w:t>132335197506120413</w:t>
      </w:r>
      <w:r>
        <w:rPr>
          <w:rFonts w:hint="eastAsia"/>
          <w:sz w:val="15"/>
          <w:szCs w:val="15"/>
        </w:rPr>
        <w:t xml:space="preserve">  </w:t>
      </w:r>
      <w:r>
        <w:rPr>
          <w:rFonts w:hint="eastAsia"/>
          <w:sz w:val="15"/>
          <w:szCs w:val="15"/>
          <w:lang w:val="en-US" w:eastAsia="zh-CN"/>
        </w:rPr>
        <w:t>沪A10309A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