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赵志刚</w:t>
      </w:r>
      <w:r>
        <w:rPr>
          <w:rFonts w:hint="eastAsia"/>
          <w:sz w:val="15"/>
          <w:szCs w:val="15"/>
          <w:highlight w:val="none"/>
        </w:rPr>
        <w:t>，</w:t>
      </w:r>
      <w:r>
        <w:rPr>
          <w:rFonts w:hint="eastAsia"/>
          <w:sz w:val="15"/>
          <w:szCs w:val="15"/>
          <w:highlight w:val="none"/>
          <w:lang w:val="en-US" w:eastAsia="zh-CN"/>
        </w:rPr>
        <w:t>132335197505261492</w:t>
      </w:r>
      <w:r>
        <w:rPr>
          <w:rFonts w:hint="eastAsia"/>
          <w:sz w:val="15"/>
          <w:szCs w:val="15"/>
        </w:rPr>
        <w:t xml:space="preserve">  </w:t>
      </w:r>
      <w:r>
        <w:rPr>
          <w:rFonts w:hint="eastAsia"/>
          <w:sz w:val="15"/>
          <w:szCs w:val="15"/>
          <w:lang w:val="en-US" w:eastAsia="zh-CN"/>
        </w:rPr>
        <w:t>冀A72221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