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竹喜英</w:t>
      </w:r>
      <w:r>
        <w:rPr>
          <w:rFonts w:hint="eastAsia"/>
          <w:sz w:val="15"/>
          <w:szCs w:val="15"/>
          <w:highlight w:val="none"/>
        </w:rPr>
        <w:t>，</w:t>
      </w:r>
      <w:r>
        <w:rPr>
          <w:rFonts w:hint="eastAsia"/>
          <w:sz w:val="15"/>
          <w:szCs w:val="15"/>
          <w:highlight w:val="none"/>
          <w:lang w:val="en-US" w:eastAsia="zh-CN"/>
        </w:rPr>
        <w:t>13233519750109106X</w:t>
      </w:r>
      <w:r>
        <w:rPr>
          <w:rFonts w:hint="eastAsia"/>
          <w:sz w:val="15"/>
          <w:szCs w:val="15"/>
        </w:rPr>
        <w:t xml:space="preserve">  </w:t>
      </w:r>
      <w:r>
        <w:rPr>
          <w:rFonts w:hint="eastAsia"/>
          <w:sz w:val="15"/>
          <w:szCs w:val="15"/>
          <w:lang w:val="en-US" w:eastAsia="zh-CN"/>
        </w:rPr>
        <w:t>冀AKU660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