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王利芹</w:t>
      </w:r>
      <w:r>
        <w:rPr>
          <w:rFonts w:hint="eastAsia"/>
          <w:sz w:val="15"/>
          <w:szCs w:val="15"/>
          <w:highlight w:val="none"/>
        </w:rPr>
        <w:t>，</w:t>
      </w:r>
      <w:r>
        <w:rPr>
          <w:rFonts w:hint="eastAsia"/>
          <w:sz w:val="15"/>
          <w:szCs w:val="15"/>
          <w:highlight w:val="none"/>
          <w:lang w:val="en-US" w:eastAsia="zh-CN"/>
        </w:rPr>
        <w:t>132335197208271168</w:t>
      </w:r>
      <w:r>
        <w:rPr>
          <w:rFonts w:hint="eastAsia"/>
          <w:sz w:val="15"/>
          <w:szCs w:val="15"/>
        </w:rPr>
        <w:t xml:space="preserve">  </w:t>
      </w:r>
      <w:r>
        <w:rPr>
          <w:rFonts w:hint="eastAsia"/>
          <w:sz w:val="15"/>
          <w:szCs w:val="15"/>
          <w:lang w:val="en-US" w:eastAsia="zh-CN"/>
        </w:rPr>
        <w:t>冀AG6235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