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曹翠英</w:t>
      </w:r>
      <w:r>
        <w:rPr>
          <w:rFonts w:hint="eastAsia"/>
          <w:sz w:val="15"/>
          <w:szCs w:val="15"/>
          <w:highlight w:val="none"/>
        </w:rPr>
        <w:t>，</w:t>
      </w:r>
      <w:r>
        <w:rPr>
          <w:rFonts w:hint="eastAsia"/>
          <w:sz w:val="15"/>
          <w:szCs w:val="15"/>
          <w:highlight w:val="none"/>
          <w:lang w:val="en-US" w:eastAsia="zh-CN"/>
        </w:rPr>
        <w:t>132335197202141047</w:t>
      </w:r>
      <w:r>
        <w:rPr>
          <w:rFonts w:hint="eastAsia"/>
          <w:sz w:val="15"/>
          <w:szCs w:val="15"/>
        </w:rPr>
        <w:t xml:space="preserve">  </w:t>
      </w:r>
      <w:r>
        <w:rPr>
          <w:rFonts w:hint="eastAsia"/>
          <w:sz w:val="15"/>
          <w:szCs w:val="15"/>
          <w:lang w:val="en-US" w:eastAsia="zh-CN"/>
        </w:rPr>
        <w:t>冀A09882D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