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梁正江</w:t>
      </w:r>
      <w:r>
        <w:rPr>
          <w:rFonts w:hint="eastAsia"/>
          <w:sz w:val="15"/>
          <w:szCs w:val="15"/>
          <w:highlight w:val="none"/>
        </w:rPr>
        <w:t>，</w:t>
      </w:r>
      <w:r>
        <w:rPr>
          <w:rFonts w:hint="eastAsia"/>
          <w:sz w:val="15"/>
          <w:szCs w:val="15"/>
          <w:highlight w:val="none"/>
          <w:lang w:val="en-US" w:eastAsia="zh-CN"/>
        </w:rPr>
        <w:t>132335197110192277</w:t>
      </w:r>
      <w:r>
        <w:rPr>
          <w:rFonts w:hint="eastAsia"/>
          <w:sz w:val="15"/>
          <w:szCs w:val="15"/>
        </w:rPr>
        <w:t xml:space="preserve">  </w:t>
      </w:r>
      <w:r>
        <w:rPr>
          <w:rFonts w:hint="eastAsia"/>
          <w:sz w:val="15"/>
          <w:szCs w:val="15"/>
          <w:lang w:val="en-US" w:eastAsia="zh-CN"/>
        </w:rPr>
        <w:t>冀A55472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