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齐新利</w:t>
      </w:r>
      <w:r>
        <w:rPr>
          <w:rFonts w:hint="eastAsia"/>
          <w:sz w:val="15"/>
          <w:szCs w:val="15"/>
          <w:highlight w:val="none"/>
        </w:rPr>
        <w:t>，</w:t>
      </w:r>
      <w:r>
        <w:rPr>
          <w:rFonts w:hint="eastAsia"/>
          <w:sz w:val="15"/>
          <w:szCs w:val="15"/>
          <w:highlight w:val="none"/>
          <w:lang w:val="en-US" w:eastAsia="zh-CN"/>
        </w:rPr>
        <w:t>132335197011160261</w:t>
      </w:r>
      <w:r>
        <w:rPr>
          <w:rFonts w:hint="eastAsia"/>
          <w:sz w:val="15"/>
          <w:szCs w:val="15"/>
        </w:rPr>
        <w:t xml:space="preserve">  </w:t>
      </w:r>
      <w:r>
        <w:rPr>
          <w:rFonts w:hint="eastAsia"/>
          <w:sz w:val="15"/>
          <w:szCs w:val="15"/>
          <w:lang w:val="en-US" w:eastAsia="zh-CN"/>
        </w:rPr>
        <w:t>冀A40803D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