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樊竹军</w:t>
      </w:r>
      <w:r>
        <w:rPr>
          <w:rFonts w:hint="eastAsia"/>
          <w:sz w:val="15"/>
          <w:szCs w:val="15"/>
          <w:highlight w:val="none"/>
        </w:rPr>
        <w:t>，</w:t>
      </w:r>
      <w:r>
        <w:rPr>
          <w:rFonts w:hint="eastAsia"/>
          <w:sz w:val="15"/>
          <w:szCs w:val="15"/>
          <w:highlight w:val="none"/>
          <w:lang w:val="en-US" w:eastAsia="zh-CN"/>
        </w:rPr>
        <w:t>132335197002101171</w:t>
      </w:r>
      <w:r>
        <w:rPr>
          <w:rFonts w:hint="eastAsia"/>
          <w:sz w:val="15"/>
          <w:szCs w:val="15"/>
        </w:rPr>
        <w:t xml:space="preserve">  </w:t>
      </w:r>
      <w:r>
        <w:rPr>
          <w:rFonts w:hint="eastAsia"/>
          <w:sz w:val="15"/>
          <w:szCs w:val="15"/>
          <w:lang w:val="en-US" w:eastAsia="zh-CN"/>
        </w:rPr>
        <w:t>沪A65315D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