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赵荣见</w:t>
      </w:r>
      <w:r>
        <w:rPr>
          <w:rFonts w:hint="eastAsia"/>
          <w:sz w:val="15"/>
          <w:szCs w:val="15"/>
          <w:highlight w:val="none"/>
        </w:rPr>
        <w:t>，</w:t>
      </w:r>
      <w:r>
        <w:rPr>
          <w:rFonts w:hint="eastAsia"/>
          <w:sz w:val="15"/>
          <w:szCs w:val="15"/>
          <w:highlight w:val="none"/>
          <w:lang w:val="en-US" w:eastAsia="zh-CN"/>
        </w:rPr>
        <w:t>132329197108013818</w:t>
      </w:r>
      <w:r>
        <w:rPr>
          <w:rFonts w:hint="eastAsia"/>
          <w:sz w:val="15"/>
          <w:szCs w:val="15"/>
        </w:rPr>
        <w:t xml:space="preserve">  </w:t>
      </w:r>
      <w:r>
        <w:rPr>
          <w:rFonts w:hint="eastAsia"/>
          <w:sz w:val="15"/>
          <w:szCs w:val="15"/>
          <w:lang w:val="en-US" w:eastAsia="zh-CN"/>
        </w:rPr>
        <w:t>冀ATP381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