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曹力增</w:t>
      </w:r>
      <w:r>
        <w:rPr>
          <w:rFonts w:hint="eastAsia"/>
          <w:sz w:val="15"/>
          <w:szCs w:val="15"/>
          <w:highlight w:val="none"/>
        </w:rPr>
        <w:t>，</w:t>
      </w:r>
      <w:r>
        <w:rPr>
          <w:rFonts w:hint="eastAsia"/>
          <w:sz w:val="15"/>
          <w:szCs w:val="15"/>
          <w:highlight w:val="none"/>
          <w:lang w:val="en-US" w:eastAsia="zh-CN"/>
        </w:rPr>
        <w:t>132302197203280818</w:t>
      </w:r>
      <w:r>
        <w:rPr>
          <w:rFonts w:hint="eastAsia"/>
          <w:sz w:val="15"/>
          <w:szCs w:val="15"/>
        </w:rPr>
        <w:t xml:space="preserve">  </w:t>
      </w:r>
      <w:r>
        <w:rPr>
          <w:rFonts w:hint="eastAsia"/>
          <w:sz w:val="15"/>
          <w:szCs w:val="15"/>
          <w:lang w:val="en-US" w:eastAsia="zh-CN"/>
        </w:rPr>
        <w:t>沪A08178A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