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周冀红</w:t>
      </w:r>
      <w:r>
        <w:rPr>
          <w:rFonts w:hint="eastAsia"/>
          <w:sz w:val="15"/>
          <w:szCs w:val="15"/>
          <w:highlight w:val="none"/>
        </w:rPr>
        <w:t>，</w:t>
      </w:r>
      <w:r>
        <w:rPr>
          <w:rFonts w:hint="eastAsia"/>
          <w:sz w:val="15"/>
          <w:szCs w:val="15"/>
          <w:highlight w:val="none"/>
          <w:lang w:val="en-US" w:eastAsia="zh-CN"/>
        </w:rPr>
        <w:t>131122198004281242</w:t>
      </w:r>
      <w:r>
        <w:rPr>
          <w:rFonts w:hint="eastAsia"/>
          <w:sz w:val="15"/>
          <w:szCs w:val="15"/>
        </w:rPr>
        <w:t xml:space="preserve">  </w:t>
      </w:r>
      <w:r>
        <w:rPr>
          <w:rFonts w:hint="eastAsia"/>
          <w:sz w:val="15"/>
          <w:szCs w:val="15"/>
          <w:lang w:val="en-US" w:eastAsia="zh-CN"/>
        </w:rPr>
        <w:t>冀TL3732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