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安苇江</w:t>
      </w:r>
      <w:r>
        <w:rPr>
          <w:rFonts w:hint="eastAsia"/>
          <w:sz w:val="15"/>
          <w:szCs w:val="15"/>
          <w:highlight w:val="none"/>
        </w:rPr>
        <w:t>，</w:t>
      </w:r>
      <w:r>
        <w:rPr>
          <w:rFonts w:hint="eastAsia"/>
          <w:sz w:val="15"/>
          <w:szCs w:val="15"/>
          <w:highlight w:val="none"/>
          <w:lang w:val="en-US" w:eastAsia="zh-CN"/>
        </w:rPr>
        <w:t>130530198510021516</w:t>
      </w:r>
      <w:r>
        <w:rPr>
          <w:rFonts w:hint="eastAsia"/>
          <w:sz w:val="15"/>
          <w:szCs w:val="15"/>
        </w:rPr>
        <w:t xml:space="preserve">  </w:t>
      </w:r>
      <w:r>
        <w:rPr>
          <w:rFonts w:hint="eastAsia"/>
          <w:sz w:val="15"/>
          <w:szCs w:val="15"/>
          <w:lang w:val="en-US" w:eastAsia="zh-CN"/>
        </w:rPr>
        <w:t>沪A13302A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