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郭顺法</w:t>
      </w:r>
      <w:r>
        <w:rPr>
          <w:rFonts w:hint="eastAsia"/>
          <w:sz w:val="15"/>
          <w:szCs w:val="15"/>
          <w:highlight w:val="none"/>
        </w:rPr>
        <w:t>，</w:t>
      </w:r>
      <w:r>
        <w:rPr>
          <w:rFonts w:hint="eastAsia"/>
          <w:sz w:val="15"/>
          <w:szCs w:val="15"/>
          <w:highlight w:val="none"/>
          <w:lang w:val="en-US" w:eastAsia="zh-CN"/>
        </w:rPr>
        <w:t>130434197909166536</w:t>
      </w:r>
      <w:r>
        <w:rPr>
          <w:rFonts w:hint="eastAsia"/>
          <w:sz w:val="15"/>
          <w:szCs w:val="15"/>
        </w:rPr>
        <w:t xml:space="preserve">  </w:t>
      </w:r>
      <w:r>
        <w:rPr>
          <w:rFonts w:hint="eastAsia"/>
          <w:sz w:val="15"/>
          <w:szCs w:val="15"/>
          <w:lang w:val="en-US" w:eastAsia="zh-CN"/>
        </w:rPr>
        <w:t>冀A484C1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