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顾东杰</w:t>
      </w:r>
      <w:r>
        <w:rPr>
          <w:rFonts w:hint="eastAsia"/>
          <w:sz w:val="15"/>
          <w:szCs w:val="15"/>
          <w:highlight w:val="none"/>
        </w:rPr>
        <w:t>，</w:t>
      </w:r>
      <w:r>
        <w:rPr>
          <w:rFonts w:hint="eastAsia"/>
          <w:sz w:val="15"/>
          <w:szCs w:val="15"/>
          <w:highlight w:val="none"/>
          <w:lang w:val="en-US" w:eastAsia="zh-CN"/>
        </w:rPr>
        <w:t>130324198812250914</w:t>
      </w:r>
      <w:r>
        <w:rPr>
          <w:rFonts w:hint="eastAsia"/>
          <w:sz w:val="15"/>
          <w:szCs w:val="15"/>
        </w:rPr>
        <w:t xml:space="preserve">  </w:t>
      </w:r>
      <w:r>
        <w:rPr>
          <w:rFonts w:hint="eastAsia"/>
          <w:sz w:val="15"/>
          <w:szCs w:val="15"/>
          <w:lang w:val="en-US" w:eastAsia="zh-CN"/>
        </w:rPr>
        <w:t>冀B6475H</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