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王卓卓</w:t>
      </w:r>
      <w:r>
        <w:rPr>
          <w:rFonts w:hint="eastAsia"/>
          <w:sz w:val="15"/>
          <w:szCs w:val="15"/>
          <w:highlight w:val="none"/>
        </w:rPr>
        <w:t>，</w:t>
      </w:r>
      <w:r>
        <w:rPr>
          <w:rFonts w:hint="eastAsia"/>
          <w:sz w:val="15"/>
          <w:szCs w:val="15"/>
          <w:highlight w:val="none"/>
          <w:lang w:val="en-US" w:eastAsia="zh-CN"/>
        </w:rPr>
        <w:t>130184198510100625</w:t>
      </w:r>
      <w:r>
        <w:rPr>
          <w:rFonts w:hint="eastAsia"/>
          <w:sz w:val="15"/>
          <w:szCs w:val="15"/>
        </w:rPr>
        <w:t xml:space="preserve">  </w:t>
      </w:r>
      <w:r>
        <w:rPr>
          <w:rFonts w:hint="eastAsia"/>
          <w:sz w:val="15"/>
          <w:szCs w:val="15"/>
          <w:lang w:val="en-US" w:eastAsia="zh-CN"/>
        </w:rPr>
        <w:t>冀A57688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