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马立永</w:t>
      </w:r>
      <w:r>
        <w:rPr>
          <w:rFonts w:hint="eastAsia"/>
          <w:sz w:val="15"/>
          <w:szCs w:val="15"/>
          <w:highlight w:val="none"/>
        </w:rPr>
        <w:t>，</w:t>
      </w:r>
      <w:r>
        <w:rPr>
          <w:rFonts w:hint="eastAsia"/>
          <w:sz w:val="15"/>
          <w:szCs w:val="15"/>
          <w:highlight w:val="none"/>
          <w:lang w:val="en-US" w:eastAsia="zh-CN"/>
        </w:rPr>
        <w:t>13018419820118401X</w:t>
      </w:r>
      <w:r>
        <w:rPr>
          <w:rFonts w:hint="eastAsia"/>
          <w:sz w:val="15"/>
          <w:szCs w:val="15"/>
        </w:rPr>
        <w:t xml:space="preserve">  </w:t>
      </w:r>
      <w:r>
        <w:rPr>
          <w:rFonts w:hint="eastAsia"/>
          <w:sz w:val="15"/>
          <w:szCs w:val="15"/>
          <w:lang w:val="en-US" w:eastAsia="zh-CN"/>
        </w:rPr>
        <w:t>冀A491NP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