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刘风利</w:t>
      </w:r>
      <w:r>
        <w:rPr>
          <w:rFonts w:hint="eastAsia"/>
          <w:sz w:val="15"/>
          <w:szCs w:val="15"/>
          <w:highlight w:val="none"/>
        </w:rPr>
        <w:t>，</w:t>
      </w:r>
      <w:r>
        <w:rPr>
          <w:rFonts w:hint="eastAsia"/>
          <w:sz w:val="15"/>
          <w:szCs w:val="15"/>
          <w:highlight w:val="none"/>
          <w:lang w:val="en-US" w:eastAsia="zh-CN"/>
        </w:rPr>
        <w:t>13018419800903453X</w:t>
      </w:r>
      <w:r>
        <w:rPr>
          <w:rFonts w:hint="eastAsia"/>
          <w:sz w:val="15"/>
          <w:szCs w:val="15"/>
        </w:rPr>
        <w:t xml:space="preserve">  </w:t>
      </w:r>
      <w:r>
        <w:rPr>
          <w:rFonts w:hint="eastAsia"/>
          <w:sz w:val="15"/>
          <w:szCs w:val="15"/>
          <w:lang w:val="en-US" w:eastAsia="zh-CN"/>
        </w:rPr>
        <w:t>冀AR6975</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