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杜翠翠</w:t>
      </w:r>
      <w:r>
        <w:rPr>
          <w:rFonts w:hint="eastAsia"/>
          <w:sz w:val="15"/>
          <w:szCs w:val="15"/>
          <w:highlight w:val="none"/>
        </w:rPr>
        <w:t>，</w:t>
      </w:r>
      <w:r>
        <w:rPr>
          <w:rFonts w:hint="eastAsia"/>
          <w:sz w:val="15"/>
          <w:szCs w:val="15"/>
          <w:highlight w:val="none"/>
          <w:lang w:val="en-US" w:eastAsia="zh-CN"/>
        </w:rPr>
        <w:t>130182198205305349</w:t>
      </w:r>
      <w:r>
        <w:rPr>
          <w:rFonts w:hint="eastAsia"/>
          <w:sz w:val="15"/>
          <w:szCs w:val="15"/>
        </w:rPr>
        <w:t xml:space="preserve">  </w:t>
      </w:r>
      <w:r>
        <w:rPr>
          <w:rFonts w:hint="eastAsia"/>
          <w:sz w:val="15"/>
          <w:szCs w:val="15"/>
          <w:lang w:val="en-US" w:eastAsia="zh-CN"/>
        </w:rPr>
        <w:t>冀AX0468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