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杜翠然</w:t>
      </w:r>
      <w:r>
        <w:rPr>
          <w:rFonts w:hint="eastAsia"/>
          <w:sz w:val="15"/>
          <w:szCs w:val="15"/>
          <w:highlight w:val="none"/>
        </w:rPr>
        <w:t>，</w:t>
      </w:r>
      <w:r>
        <w:rPr>
          <w:rFonts w:hint="eastAsia"/>
          <w:sz w:val="15"/>
          <w:szCs w:val="15"/>
          <w:highlight w:val="none"/>
          <w:lang w:val="en-US" w:eastAsia="zh-CN"/>
        </w:rPr>
        <w:t>130182197202125321</w:t>
      </w:r>
      <w:r>
        <w:rPr>
          <w:rFonts w:hint="eastAsia"/>
          <w:sz w:val="15"/>
          <w:szCs w:val="15"/>
        </w:rPr>
        <w:t xml:space="preserve">  </w:t>
      </w:r>
      <w:r>
        <w:rPr>
          <w:rFonts w:hint="eastAsia"/>
          <w:sz w:val="15"/>
          <w:szCs w:val="15"/>
          <w:lang w:val="en-US" w:eastAsia="zh-CN"/>
        </w:rPr>
        <w:t>冀AHB760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