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王璐</w:t>
      </w:r>
      <w:r>
        <w:rPr>
          <w:rFonts w:hint="eastAsia"/>
          <w:sz w:val="15"/>
          <w:szCs w:val="15"/>
          <w:highlight w:val="none"/>
        </w:rPr>
        <w:t>，</w:t>
      </w:r>
      <w:r>
        <w:rPr>
          <w:rFonts w:hint="eastAsia"/>
          <w:sz w:val="15"/>
          <w:szCs w:val="15"/>
          <w:highlight w:val="none"/>
          <w:lang w:val="en-US" w:eastAsia="zh-CN"/>
        </w:rPr>
        <w:t>130131200401173929</w:t>
      </w:r>
      <w:r>
        <w:rPr>
          <w:rFonts w:hint="eastAsia"/>
          <w:sz w:val="15"/>
          <w:szCs w:val="15"/>
        </w:rPr>
        <w:t xml:space="preserve">  </w:t>
      </w:r>
      <w:r>
        <w:rPr>
          <w:rFonts w:hint="eastAsia"/>
          <w:sz w:val="15"/>
          <w:szCs w:val="15"/>
          <w:lang w:val="en-US" w:eastAsia="zh-CN"/>
        </w:rPr>
        <w:t>冀AP8824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