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史晨琦</w:t>
      </w:r>
      <w:r>
        <w:rPr>
          <w:rFonts w:hint="eastAsia"/>
          <w:sz w:val="15"/>
          <w:szCs w:val="15"/>
          <w:highlight w:val="none"/>
        </w:rPr>
        <w:t>，</w:t>
      </w:r>
      <w:r>
        <w:rPr>
          <w:rFonts w:hint="eastAsia"/>
          <w:sz w:val="15"/>
          <w:szCs w:val="15"/>
          <w:highlight w:val="none"/>
          <w:lang w:val="en-US" w:eastAsia="zh-CN"/>
        </w:rPr>
        <w:t>130131200304201211</w:t>
      </w:r>
      <w:r>
        <w:rPr>
          <w:rFonts w:hint="eastAsia"/>
          <w:sz w:val="15"/>
          <w:szCs w:val="15"/>
        </w:rPr>
        <w:t xml:space="preserve">  </w:t>
      </w:r>
      <w:r>
        <w:rPr>
          <w:rFonts w:hint="eastAsia"/>
          <w:sz w:val="15"/>
          <w:szCs w:val="15"/>
          <w:lang w:val="en-US" w:eastAsia="zh-CN"/>
        </w:rPr>
        <w:t>冀A34530D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