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王琼</w:t>
      </w:r>
      <w:r>
        <w:rPr>
          <w:rFonts w:hint="eastAsia"/>
          <w:sz w:val="15"/>
          <w:szCs w:val="15"/>
          <w:highlight w:val="none"/>
        </w:rPr>
        <w:t>，</w:t>
      </w:r>
      <w:r>
        <w:rPr>
          <w:rFonts w:hint="eastAsia"/>
          <w:sz w:val="15"/>
          <w:szCs w:val="15"/>
          <w:highlight w:val="none"/>
          <w:lang w:val="en-US" w:eastAsia="zh-CN"/>
        </w:rPr>
        <w:t>130131199811183323</w:t>
      </w:r>
      <w:r>
        <w:rPr>
          <w:rFonts w:hint="eastAsia"/>
          <w:sz w:val="15"/>
          <w:szCs w:val="15"/>
        </w:rPr>
        <w:t xml:space="preserve">  </w:t>
      </w:r>
      <w:r>
        <w:rPr>
          <w:rFonts w:hint="eastAsia"/>
          <w:sz w:val="15"/>
          <w:szCs w:val="15"/>
          <w:lang w:val="en-US" w:eastAsia="zh-CN"/>
        </w:rPr>
        <w:t>冀A06286D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