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任玉杰</w:t>
      </w:r>
      <w:r>
        <w:rPr>
          <w:rFonts w:hint="eastAsia"/>
          <w:sz w:val="15"/>
          <w:szCs w:val="15"/>
          <w:highlight w:val="none"/>
        </w:rPr>
        <w:t>，</w:t>
      </w:r>
      <w:r>
        <w:rPr>
          <w:rFonts w:hint="eastAsia"/>
          <w:sz w:val="15"/>
          <w:szCs w:val="15"/>
          <w:highlight w:val="none"/>
          <w:lang w:val="en-US" w:eastAsia="zh-CN"/>
        </w:rPr>
        <w:t>130131199106243319</w:t>
      </w:r>
      <w:r>
        <w:rPr>
          <w:rFonts w:hint="eastAsia"/>
          <w:sz w:val="15"/>
          <w:szCs w:val="15"/>
        </w:rPr>
        <w:t xml:space="preserve">  </w:t>
      </w:r>
      <w:r>
        <w:rPr>
          <w:rFonts w:hint="eastAsia"/>
          <w:sz w:val="15"/>
          <w:szCs w:val="15"/>
          <w:lang w:val="en-US" w:eastAsia="zh-CN"/>
        </w:rPr>
        <w:t>沪A05266A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