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杜兴旺</w:t>
      </w:r>
      <w:r>
        <w:rPr>
          <w:rFonts w:hint="eastAsia"/>
          <w:sz w:val="15"/>
          <w:szCs w:val="15"/>
          <w:highlight w:val="none"/>
        </w:rPr>
        <w:t>，</w:t>
      </w:r>
      <w:r>
        <w:rPr>
          <w:rFonts w:hint="eastAsia"/>
          <w:sz w:val="15"/>
          <w:szCs w:val="15"/>
          <w:highlight w:val="none"/>
          <w:lang w:val="en-US" w:eastAsia="zh-CN"/>
        </w:rPr>
        <w:t>130131199009260037</w:t>
      </w:r>
      <w:r>
        <w:rPr>
          <w:rFonts w:hint="eastAsia"/>
          <w:sz w:val="15"/>
          <w:szCs w:val="15"/>
        </w:rPr>
        <w:t xml:space="preserve">  </w:t>
      </w:r>
      <w:r>
        <w:rPr>
          <w:rFonts w:hint="eastAsia"/>
          <w:sz w:val="15"/>
          <w:szCs w:val="15"/>
          <w:lang w:val="en-US" w:eastAsia="zh-CN"/>
        </w:rPr>
        <w:t>冀A32716D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