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韩玉龙</w:t>
      </w:r>
      <w:r>
        <w:rPr>
          <w:rFonts w:hint="eastAsia"/>
          <w:sz w:val="15"/>
          <w:szCs w:val="15"/>
          <w:highlight w:val="none"/>
        </w:rPr>
        <w:t>，</w:t>
      </w:r>
      <w:r>
        <w:rPr>
          <w:rFonts w:hint="eastAsia"/>
          <w:sz w:val="15"/>
          <w:szCs w:val="15"/>
          <w:highlight w:val="none"/>
          <w:lang w:val="en-US" w:eastAsia="zh-CN"/>
        </w:rPr>
        <w:t>130131199008062418</w:t>
      </w:r>
      <w:r>
        <w:rPr>
          <w:rFonts w:hint="eastAsia"/>
          <w:sz w:val="15"/>
          <w:szCs w:val="15"/>
        </w:rPr>
        <w:t xml:space="preserve">  </w:t>
      </w:r>
      <w:r>
        <w:rPr>
          <w:rFonts w:hint="eastAsia"/>
          <w:sz w:val="15"/>
          <w:szCs w:val="15"/>
          <w:lang w:val="en-US" w:eastAsia="zh-CN"/>
        </w:rPr>
        <w:t>冀A2H697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