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马艳进</w:t>
      </w:r>
      <w:r>
        <w:rPr>
          <w:rFonts w:hint="eastAsia"/>
          <w:sz w:val="15"/>
          <w:szCs w:val="15"/>
          <w:highlight w:val="none"/>
        </w:rPr>
        <w:t>，</w:t>
      </w:r>
      <w:r>
        <w:rPr>
          <w:rFonts w:hint="eastAsia"/>
          <w:sz w:val="15"/>
          <w:szCs w:val="15"/>
          <w:highlight w:val="none"/>
          <w:lang w:val="en-US" w:eastAsia="zh-CN"/>
        </w:rPr>
        <w:t>13013119900329122X</w:t>
      </w:r>
      <w:r>
        <w:rPr>
          <w:rFonts w:hint="eastAsia"/>
          <w:sz w:val="15"/>
          <w:szCs w:val="15"/>
        </w:rPr>
        <w:t xml:space="preserve">  </w:t>
      </w:r>
      <w:r>
        <w:rPr>
          <w:rFonts w:hint="eastAsia"/>
          <w:sz w:val="15"/>
          <w:szCs w:val="15"/>
          <w:lang w:val="en-US" w:eastAsia="zh-CN"/>
        </w:rPr>
        <w:t>冀A41618D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