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张增军</w:t>
      </w:r>
      <w:r>
        <w:rPr>
          <w:rFonts w:hint="eastAsia"/>
          <w:sz w:val="15"/>
          <w:szCs w:val="15"/>
          <w:highlight w:val="none"/>
        </w:rPr>
        <w:t>，</w:t>
      </w:r>
      <w:r>
        <w:rPr>
          <w:rFonts w:hint="eastAsia"/>
          <w:sz w:val="15"/>
          <w:szCs w:val="15"/>
          <w:highlight w:val="none"/>
          <w:lang w:val="en-US" w:eastAsia="zh-CN"/>
        </w:rPr>
        <w:t>130131198905163919</w:t>
      </w:r>
      <w:r>
        <w:rPr>
          <w:rFonts w:hint="eastAsia"/>
          <w:sz w:val="15"/>
          <w:szCs w:val="15"/>
        </w:rPr>
        <w:t xml:space="preserve">  </w:t>
      </w:r>
      <w:r>
        <w:rPr>
          <w:rFonts w:hint="eastAsia"/>
          <w:sz w:val="15"/>
          <w:szCs w:val="15"/>
          <w:lang w:val="en-US" w:eastAsia="zh-CN"/>
        </w:rPr>
        <w:t>沪A06069D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