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苏明</w:t>
      </w:r>
      <w:r>
        <w:rPr>
          <w:rFonts w:hint="eastAsia"/>
          <w:sz w:val="15"/>
          <w:szCs w:val="15"/>
          <w:highlight w:val="none"/>
        </w:rPr>
        <w:t>，</w:t>
      </w:r>
      <w:r>
        <w:rPr>
          <w:rFonts w:hint="eastAsia"/>
          <w:sz w:val="15"/>
          <w:szCs w:val="15"/>
          <w:highlight w:val="none"/>
          <w:lang w:val="en-US" w:eastAsia="zh-CN"/>
        </w:rPr>
        <w:t>13013119890101422X</w:t>
      </w:r>
      <w:r>
        <w:rPr>
          <w:rFonts w:hint="eastAsia"/>
          <w:sz w:val="15"/>
          <w:szCs w:val="15"/>
        </w:rPr>
        <w:t xml:space="preserve">  </w:t>
      </w:r>
      <w:r>
        <w:rPr>
          <w:rFonts w:hint="eastAsia"/>
          <w:sz w:val="15"/>
          <w:szCs w:val="15"/>
          <w:lang w:val="en-US" w:eastAsia="zh-CN"/>
        </w:rPr>
        <w:t>冀A31282D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