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王志彦</w:t>
      </w:r>
      <w:r>
        <w:rPr>
          <w:rFonts w:hint="eastAsia"/>
          <w:sz w:val="15"/>
          <w:szCs w:val="15"/>
          <w:highlight w:val="none"/>
        </w:rPr>
        <w:t>，</w:t>
      </w:r>
      <w:r>
        <w:rPr>
          <w:rFonts w:hint="eastAsia"/>
          <w:sz w:val="15"/>
          <w:szCs w:val="15"/>
          <w:highlight w:val="none"/>
          <w:lang w:val="en-US" w:eastAsia="zh-CN"/>
        </w:rPr>
        <w:t>130131198810253612</w:t>
      </w:r>
      <w:r>
        <w:rPr>
          <w:rFonts w:hint="eastAsia"/>
          <w:sz w:val="15"/>
          <w:szCs w:val="15"/>
        </w:rPr>
        <w:t xml:space="preserve">  </w:t>
      </w:r>
      <w:r>
        <w:rPr>
          <w:rFonts w:hint="eastAsia"/>
          <w:sz w:val="15"/>
          <w:szCs w:val="15"/>
          <w:lang w:val="en-US" w:eastAsia="zh-CN"/>
        </w:rPr>
        <w:t>冀A34926D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