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薛进朝</w:t>
      </w:r>
      <w:r>
        <w:rPr>
          <w:rFonts w:hint="eastAsia"/>
          <w:sz w:val="15"/>
          <w:szCs w:val="15"/>
          <w:highlight w:val="none"/>
        </w:rPr>
        <w:t>，</w:t>
      </w:r>
      <w:r>
        <w:rPr>
          <w:rFonts w:hint="eastAsia"/>
          <w:sz w:val="15"/>
          <w:szCs w:val="15"/>
          <w:highlight w:val="none"/>
          <w:lang w:val="en-US" w:eastAsia="zh-CN"/>
        </w:rPr>
        <w:t>130131198810060917</w:t>
      </w:r>
      <w:r>
        <w:rPr>
          <w:rFonts w:hint="eastAsia"/>
          <w:sz w:val="15"/>
          <w:szCs w:val="15"/>
        </w:rPr>
        <w:t xml:space="preserve">  </w:t>
      </w:r>
      <w:r>
        <w:rPr>
          <w:rFonts w:hint="eastAsia"/>
          <w:sz w:val="15"/>
          <w:szCs w:val="15"/>
          <w:lang w:val="en-US" w:eastAsia="zh-CN"/>
        </w:rPr>
        <w:t>冀ATA588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