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石雪飞</w:t>
      </w:r>
      <w:r>
        <w:rPr>
          <w:rFonts w:hint="eastAsia"/>
          <w:sz w:val="15"/>
          <w:szCs w:val="15"/>
          <w:highlight w:val="none"/>
        </w:rPr>
        <w:t>，</w:t>
      </w:r>
      <w:r>
        <w:rPr>
          <w:rFonts w:hint="eastAsia"/>
          <w:sz w:val="15"/>
          <w:szCs w:val="15"/>
          <w:highlight w:val="none"/>
          <w:lang w:val="en-US" w:eastAsia="zh-CN"/>
        </w:rPr>
        <w:t>130131198810021811</w:t>
      </w:r>
      <w:r>
        <w:rPr>
          <w:rFonts w:hint="eastAsia"/>
          <w:sz w:val="15"/>
          <w:szCs w:val="15"/>
        </w:rPr>
        <w:t xml:space="preserve">  </w:t>
      </w:r>
      <w:r>
        <w:rPr>
          <w:rFonts w:hint="eastAsia"/>
          <w:sz w:val="15"/>
          <w:szCs w:val="15"/>
          <w:lang w:val="en-US" w:eastAsia="zh-CN"/>
        </w:rPr>
        <w:t>冀A58582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