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霍晓鹏</w:t>
      </w:r>
      <w:r>
        <w:rPr>
          <w:rFonts w:hint="eastAsia"/>
          <w:sz w:val="15"/>
          <w:szCs w:val="15"/>
          <w:highlight w:val="none"/>
        </w:rPr>
        <w:t>，</w:t>
      </w:r>
      <w:r>
        <w:rPr>
          <w:rFonts w:hint="eastAsia"/>
          <w:sz w:val="15"/>
          <w:szCs w:val="15"/>
          <w:highlight w:val="none"/>
          <w:lang w:val="en-US" w:eastAsia="zh-CN"/>
        </w:rPr>
        <w:t>130131198809300012</w:t>
      </w:r>
      <w:r>
        <w:rPr>
          <w:rFonts w:hint="eastAsia"/>
          <w:sz w:val="15"/>
          <w:szCs w:val="15"/>
        </w:rPr>
        <w:t xml:space="preserve">  </w:t>
      </w:r>
      <w:r>
        <w:rPr>
          <w:rFonts w:hint="eastAsia"/>
          <w:sz w:val="15"/>
          <w:szCs w:val="15"/>
          <w:lang w:val="en-US" w:eastAsia="zh-CN"/>
        </w:rPr>
        <w:t>冀A433AH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