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赵振广</w:t>
      </w:r>
      <w:r>
        <w:rPr>
          <w:rFonts w:hint="eastAsia"/>
          <w:sz w:val="15"/>
          <w:szCs w:val="15"/>
          <w:highlight w:val="none"/>
        </w:rPr>
        <w:t>，</w:t>
      </w:r>
      <w:r>
        <w:rPr>
          <w:rFonts w:hint="eastAsia"/>
          <w:sz w:val="15"/>
          <w:szCs w:val="15"/>
          <w:highlight w:val="none"/>
          <w:lang w:val="en-US" w:eastAsia="zh-CN"/>
        </w:rPr>
        <w:t>130131198806034230</w:t>
      </w:r>
      <w:r>
        <w:rPr>
          <w:rFonts w:hint="eastAsia"/>
          <w:sz w:val="15"/>
          <w:szCs w:val="15"/>
        </w:rPr>
        <w:t xml:space="preserve">  </w:t>
      </w:r>
      <w:r>
        <w:rPr>
          <w:rFonts w:hint="eastAsia"/>
          <w:sz w:val="15"/>
          <w:szCs w:val="15"/>
          <w:lang w:val="en-US" w:eastAsia="zh-CN"/>
        </w:rPr>
        <w:t>冀AKW697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