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高利霞</w:t>
      </w:r>
      <w:r>
        <w:rPr>
          <w:rFonts w:hint="eastAsia"/>
          <w:sz w:val="15"/>
          <w:szCs w:val="15"/>
          <w:highlight w:val="none"/>
        </w:rPr>
        <w:t>，</w:t>
      </w:r>
      <w:r>
        <w:rPr>
          <w:rFonts w:hint="eastAsia"/>
          <w:sz w:val="15"/>
          <w:szCs w:val="15"/>
          <w:highlight w:val="none"/>
          <w:lang w:val="en-US" w:eastAsia="zh-CN"/>
        </w:rPr>
        <w:t>130131198805234222</w:t>
      </w:r>
      <w:r>
        <w:rPr>
          <w:rFonts w:hint="eastAsia"/>
          <w:sz w:val="15"/>
          <w:szCs w:val="15"/>
        </w:rPr>
        <w:t xml:space="preserve">  </w:t>
      </w:r>
      <w:r>
        <w:rPr>
          <w:rFonts w:hint="eastAsia"/>
          <w:sz w:val="15"/>
          <w:szCs w:val="15"/>
          <w:lang w:val="en-US" w:eastAsia="zh-CN"/>
        </w:rPr>
        <w:t>津A27725D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