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于永龙</w:t>
      </w:r>
      <w:r>
        <w:rPr>
          <w:rFonts w:hint="eastAsia"/>
          <w:sz w:val="15"/>
          <w:szCs w:val="15"/>
          <w:highlight w:val="none"/>
        </w:rPr>
        <w:t>，</w:t>
      </w:r>
      <w:r>
        <w:rPr>
          <w:rFonts w:hint="eastAsia"/>
          <w:sz w:val="15"/>
          <w:szCs w:val="15"/>
          <w:highlight w:val="none"/>
          <w:lang w:val="en-US" w:eastAsia="zh-CN"/>
        </w:rPr>
        <w:t>130131198803290677</w:t>
      </w:r>
      <w:r>
        <w:rPr>
          <w:rFonts w:hint="eastAsia"/>
          <w:sz w:val="15"/>
          <w:szCs w:val="15"/>
        </w:rPr>
        <w:t xml:space="preserve">  </w:t>
      </w:r>
      <w:r>
        <w:rPr>
          <w:rFonts w:hint="eastAsia"/>
          <w:sz w:val="15"/>
          <w:szCs w:val="15"/>
          <w:lang w:val="en-US" w:eastAsia="zh-CN"/>
        </w:rPr>
        <w:t>沪A03076A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