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霍伟伟</w:t>
      </w:r>
      <w:r>
        <w:rPr>
          <w:rFonts w:hint="eastAsia"/>
          <w:sz w:val="15"/>
          <w:szCs w:val="15"/>
          <w:highlight w:val="none"/>
        </w:rPr>
        <w:t>，</w:t>
      </w:r>
      <w:r>
        <w:rPr>
          <w:rFonts w:hint="eastAsia"/>
          <w:sz w:val="15"/>
          <w:szCs w:val="15"/>
          <w:highlight w:val="none"/>
          <w:lang w:val="en-US" w:eastAsia="zh-CN"/>
        </w:rPr>
        <w:t>130131198712144818</w:t>
      </w:r>
      <w:r>
        <w:rPr>
          <w:rFonts w:hint="eastAsia"/>
          <w:sz w:val="15"/>
          <w:szCs w:val="15"/>
        </w:rPr>
        <w:t xml:space="preserve">  </w:t>
      </w:r>
      <w:r>
        <w:rPr>
          <w:rFonts w:hint="eastAsia"/>
          <w:sz w:val="15"/>
          <w:szCs w:val="15"/>
          <w:lang w:val="en-US" w:eastAsia="zh-CN"/>
        </w:rPr>
        <w:t>冀A74222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