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霍志刚</w:t>
      </w:r>
      <w:r>
        <w:rPr>
          <w:rFonts w:hint="eastAsia"/>
          <w:sz w:val="15"/>
          <w:szCs w:val="15"/>
          <w:highlight w:val="none"/>
        </w:rPr>
        <w:t>，</w:t>
      </w:r>
      <w:r>
        <w:rPr>
          <w:rFonts w:hint="eastAsia"/>
          <w:sz w:val="15"/>
          <w:szCs w:val="15"/>
          <w:highlight w:val="none"/>
          <w:lang w:val="en-US" w:eastAsia="zh-CN"/>
        </w:rPr>
        <w:t>130131198706124810</w:t>
      </w:r>
      <w:r>
        <w:rPr>
          <w:rFonts w:hint="eastAsia"/>
          <w:sz w:val="15"/>
          <w:szCs w:val="15"/>
        </w:rPr>
        <w:t xml:space="preserve">  </w:t>
      </w:r>
      <w:r>
        <w:rPr>
          <w:rFonts w:hint="eastAsia"/>
          <w:sz w:val="15"/>
          <w:szCs w:val="15"/>
          <w:lang w:val="en-US" w:eastAsia="zh-CN"/>
        </w:rPr>
        <w:t>冀AK4811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