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史军霞</w:t>
      </w:r>
      <w:r>
        <w:rPr>
          <w:rFonts w:hint="eastAsia"/>
          <w:sz w:val="15"/>
          <w:szCs w:val="15"/>
          <w:highlight w:val="none"/>
        </w:rPr>
        <w:t>，</w:t>
      </w:r>
      <w:r>
        <w:rPr>
          <w:rFonts w:hint="eastAsia"/>
          <w:sz w:val="15"/>
          <w:szCs w:val="15"/>
          <w:highlight w:val="none"/>
          <w:lang w:val="en-US" w:eastAsia="zh-CN"/>
        </w:rPr>
        <w:t>130131198606072128</w:t>
      </w:r>
      <w:r>
        <w:rPr>
          <w:rFonts w:hint="eastAsia"/>
          <w:sz w:val="15"/>
          <w:szCs w:val="15"/>
        </w:rPr>
        <w:t xml:space="preserve">  </w:t>
      </w:r>
      <w:r>
        <w:rPr>
          <w:rFonts w:hint="eastAsia"/>
          <w:sz w:val="15"/>
          <w:szCs w:val="15"/>
          <w:lang w:val="en-US" w:eastAsia="zh-CN"/>
        </w:rPr>
        <w:t>冀A6062B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