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焦丽明</w:t>
      </w:r>
      <w:r>
        <w:rPr>
          <w:rFonts w:hint="eastAsia"/>
          <w:sz w:val="15"/>
          <w:szCs w:val="15"/>
          <w:highlight w:val="none"/>
        </w:rPr>
        <w:t>，</w:t>
      </w:r>
      <w:r>
        <w:rPr>
          <w:rFonts w:hint="eastAsia"/>
          <w:sz w:val="15"/>
          <w:szCs w:val="15"/>
          <w:highlight w:val="none"/>
          <w:lang w:val="en-US" w:eastAsia="zh-CN"/>
        </w:rPr>
        <w:t>130131198505061833</w:t>
      </w:r>
      <w:r>
        <w:rPr>
          <w:rFonts w:hint="eastAsia"/>
          <w:sz w:val="15"/>
          <w:szCs w:val="15"/>
        </w:rPr>
        <w:t xml:space="preserve">  </w:t>
      </w:r>
      <w:r>
        <w:rPr>
          <w:rFonts w:hint="eastAsia"/>
          <w:sz w:val="15"/>
          <w:szCs w:val="15"/>
          <w:lang w:val="en-US" w:eastAsia="zh-CN"/>
        </w:rPr>
        <w:t>冀A75510</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