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孙晓峰</w:t>
      </w:r>
      <w:r>
        <w:rPr>
          <w:rFonts w:hint="eastAsia"/>
          <w:sz w:val="15"/>
          <w:szCs w:val="15"/>
          <w:highlight w:val="none"/>
        </w:rPr>
        <w:t>，</w:t>
      </w:r>
      <w:r>
        <w:rPr>
          <w:rFonts w:hint="eastAsia"/>
          <w:sz w:val="15"/>
          <w:szCs w:val="15"/>
          <w:highlight w:val="none"/>
          <w:lang w:val="en-US" w:eastAsia="zh-CN"/>
        </w:rPr>
        <w:t>130131198410040036</w:t>
      </w:r>
      <w:r>
        <w:rPr>
          <w:rFonts w:hint="eastAsia"/>
          <w:sz w:val="15"/>
          <w:szCs w:val="15"/>
        </w:rPr>
        <w:t xml:space="preserve">  </w:t>
      </w:r>
      <w:r>
        <w:rPr>
          <w:rFonts w:hint="eastAsia"/>
          <w:sz w:val="15"/>
          <w:szCs w:val="15"/>
          <w:lang w:val="en-US" w:eastAsia="zh-CN"/>
        </w:rPr>
        <w:t>冀AJ9510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