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李金波</w:t>
      </w:r>
      <w:r>
        <w:rPr>
          <w:rFonts w:hint="eastAsia"/>
          <w:sz w:val="15"/>
          <w:szCs w:val="15"/>
          <w:highlight w:val="none"/>
        </w:rPr>
        <w:t>，</w:t>
      </w:r>
      <w:r>
        <w:rPr>
          <w:rFonts w:hint="eastAsia"/>
          <w:sz w:val="15"/>
          <w:szCs w:val="15"/>
          <w:highlight w:val="none"/>
          <w:lang w:val="en-US" w:eastAsia="zh-CN"/>
        </w:rPr>
        <w:t>130131198406243914</w:t>
      </w:r>
      <w:r>
        <w:rPr>
          <w:rFonts w:hint="eastAsia"/>
          <w:sz w:val="15"/>
          <w:szCs w:val="15"/>
        </w:rPr>
        <w:t xml:space="preserve">  </w:t>
      </w:r>
      <w:r>
        <w:rPr>
          <w:rFonts w:hint="eastAsia"/>
          <w:sz w:val="15"/>
          <w:szCs w:val="15"/>
          <w:lang w:val="en-US" w:eastAsia="zh-CN"/>
        </w:rPr>
        <w:t>沪A22593A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