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赵亚南</w:t>
      </w:r>
      <w:r>
        <w:rPr>
          <w:rFonts w:hint="eastAsia"/>
          <w:sz w:val="15"/>
          <w:szCs w:val="15"/>
          <w:highlight w:val="none"/>
        </w:rPr>
        <w:t>，</w:t>
      </w:r>
      <w:r>
        <w:rPr>
          <w:rFonts w:hint="eastAsia"/>
          <w:sz w:val="15"/>
          <w:szCs w:val="15"/>
          <w:highlight w:val="none"/>
          <w:lang w:val="en-US" w:eastAsia="zh-CN"/>
        </w:rPr>
        <w:t>130126199005172725</w:t>
      </w:r>
      <w:r>
        <w:rPr>
          <w:rFonts w:hint="eastAsia"/>
          <w:sz w:val="15"/>
          <w:szCs w:val="15"/>
        </w:rPr>
        <w:t xml:space="preserve">  </w:t>
      </w:r>
      <w:r>
        <w:rPr>
          <w:rFonts w:hint="eastAsia"/>
          <w:sz w:val="15"/>
          <w:szCs w:val="15"/>
          <w:lang w:val="en-US" w:eastAsia="zh-CN"/>
        </w:rPr>
        <w:t>京A11555D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