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闫江龙</w:t>
      </w:r>
      <w:r>
        <w:rPr>
          <w:rFonts w:hint="eastAsia"/>
          <w:sz w:val="15"/>
          <w:szCs w:val="15"/>
          <w:highlight w:val="none"/>
        </w:rPr>
        <w:t>，</w:t>
      </w:r>
      <w:r>
        <w:rPr>
          <w:rFonts w:hint="eastAsia"/>
          <w:sz w:val="15"/>
          <w:szCs w:val="15"/>
          <w:highlight w:val="none"/>
          <w:lang w:val="en-US" w:eastAsia="zh-CN"/>
        </w:rPr>
        <w:t>130126198901203054</w:t>
      </w:r>
      <w:r>
        <w:rPr>
          <w:rFonts w:hint="eastAsia"/>
          <w:sz w:val="15"/>
          <w:szCs w:val="15"/>
        </w:rPr>
        <w:t xml:space="preserve">  </w:t>
      </w:r>
      <w:r>
        <w:rPr>
          <w:rFonts w:hint="eastAsia"/>
          <w:sz w:val="15"/>
          <w:szCs w:val="15"/>
          <w:lang w:val="en-US" w:eastAsia="zh-CN"/>
        </w:rPr>
        <w:t>冀A4470Z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